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21" w:rsidRPr="00445B21" w:rsidRDefault="00445B21" w:rsidP="00445B21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445B2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445B2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128-%D0%B1%D0%B0%D0%BD%D0%BA%D0%B8-%D0%BD%D0%B0%D1%87%D0%BD%D1%83%D1%82-%D0%BF%D1%80%D0%B5%D0%B4%D1%81%D1%82%D0%B0%D0%B2%D0%BB%D1%8F%D1%82%D1%8C-%D0%B2-%D0%BD%D0%B0%D0%BB%D0%BE%D0%B3%D0%BE%D0%B2%D1%8B%D0%B9-%D0%BE%D1%80%D0%B3%D0%B0%D0%BD-%D1%81%D0%B2%D0%B5%D0%B4%D0%B5%D0%BD%D0%B8%D1%8F-%D0%BE-%D1%81%D1%87%D0%B5%D1%82%D0%B0%D1%85-%D1%84%D0%B8%D0%B7%D0%BB%D0%B8%D1%86" </w:instrText>
      </w:r>
      <w:r w:rsidRPr="00445B2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445B21">
        <w:rPr>
          <w:rFonts w:ascii="Arial" w:eastAsia="Times New Roman" w:hAnsi="Arial" w:cs="Arial"/>
          <w:caps/>
          <w:color w:val="777777"/>
          <w:sz w:val="39"/>
          <w:lang w:eastAsia="ru-RU"/>
        </w:rPr>
        <w:t>БАНКИ НАЧНУТ ПРЕДСТАВЛЯТЬ В НАЛОГОВЫЙ ОРГАН СВЕДЕНИЯ О СЧЕТАХ ФИЗЛИЦ</w:t>
      </w:r>
      <w:r w:rsidRPr="00445B2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445B21" w:rsidRPr="00445B21" w:rsidRDefault="00445B21" w:rsidP="00445B21">
      <w:pPr>
        <w:shd w:val="clear" w:color="auto" w:fill="FAFBFC"/>
        <w:spacing w:before="30" w:after="0" w:line="288" w:lineRule="atLeast"/>
        <w:ind w:left="720"/>
        <w:rPr>
          <w:rFonts w:ascii="Arial" w:eastAsia="Times New Roman" w:hAnsi="Arial" w:cs="Arial"/>
          <w:color w:val="999999"/>
          <w:lang w:eastAsia="ru-RU"/>
        </w:rPr>
      </w:pP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30 июня 2013 г. вступил в силу Федеральный закон от 28.06.2013 № 134-ФЗ «О внесении изменений в отдельные законодательные акты Российской Федерации в части противодействия незаконным финансовым операциям», за исключением отдельных положений.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Полностью Закон вступает в силу с 1 января 2015 г.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Данный пакет изменений направлен на создание условий для предотвращения, выявления и пресечения незаконных финансовых операций (в том числе с использованием фир</w:t>
      </w:r>
      <w:proofErr w:type="gramStart"/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м-</w:t>
      </w:r>
      <w:proofErr w:type="gramEnd"/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«однодневок»), легализации преступных доходов, финансирования терроризма, уклонения от уплаты налогов и таможенных платежей, а также получения коррупционных доходов.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Банки обязаны будут сообщать в налоговый орган по месту своего нахождения информацию об открытии или о закрытии счета, вклада (депозита), об изменении реквизитов счета, вклада (депозита) не только организации, индивидуального предпринимателя (как в настоящее время), но и физического лица, не являющегося индивидуальным предпринимателем. Данная норма начнет действовать с 1 июля 2014 года.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Таким образом, с 1 июля 2014 г. банки будут представлять в налоговые органы не только о счетах, но и о вкладах и депозитах организаций и индивидуальных предпринимателей. Причем сведения об открытии или закрытии счета, вклада или депозита банки должны будут сообщать и в отношении обычных граждан, не занимающихся бизнесом.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Как и сейчас, информация будет предоставляться в электронной форме в течение трех дней со дня: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- открытия или закрытия счета, вклада или депозита;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- изменения реквизитов счета, вклада или депозита;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- предоставления или прекращения права организации, предпринимателя использовать корпоративные электронные средства платежа для переводов электронных денежных средств;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- изменения реквизитов корпоративного электронного средства платежа.  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color w:val="555555"/>
          <w:sz w:val="20"/>
          <w:szCs w:val="20"/>
          <w:lang w:eastAsia="ru-RU"/>
        </w:rPr>
        <w:t> </w:t>
      </w:r>
    </w:p>
    <w:p w:rsidR="00445B21" w:rsidRPr="00445B21" w:rsidRDefault="00445B21" w:rsidP="00445B2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445B21" w:rsidRPr="00445B21" w:rsidRDefault="00445B21" w:rsidP="00445B21">
      <w:pPr>
        <w:shd w:val="clear" w:color="auto" w:fill="FAFBFC"/>
        <w:spacing w:after="0" w:line="240" w:lineRule="auto"/>
        <w:ind w:firstLine="567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45B21">
        <w:rPr>
          <w:rFonts w:ascii="PF Din Text Cond Pro Light" w:eastAsia="Times New Roman" w:hAnsi="PF Din Text Cond Pro Light" w:cs="Arial"/>
          <w:b/>
          <w:bCs/>
          <w:color w:val="555555"/>
          <w:sz w:val="26"/>
          <w:lang w:eastAsia="ru-RU"/>
        </w:rPr>
        <w:t>Пресс-служба УФНС России по Республике Бурятия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21"/>
    <w:rsid w:val="00445B21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445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5B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5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2019-04-09T14:08:00Z</dcterms:created>
  <dcterms:modified xsi:type="dcterms:W3CDTF">2019-04-09T14:08:00Z</dcterms:modified>
</cp:coreProperties>
</file>