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11" w:rsidRPr="00892311" w:rsidRDefault="00892311" w:rsidP="00892311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89231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89231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199-%D0%B1%D0%BE%D0%BB%D0%B5%D0%B5-890-%D0%BE%D1%80%D0%B3%D0%B0%D0%BD%D0%B8%D0%B7%D0%B0%D1%86%D0%B8%D0%B9-%D1%80%D0%B5%D1%81%D0%BF%D1%83%D0%B1%D0%BB%D0%B8%D0%BA%D0%B8-%D0%BE%D1%82%D0%BA%D1%80%D1%8B%D0%BB%D0%B8-%D1%81%D0%B2%D0%BE%D0%B9-%D0%BB%D0%B8%D1%87%D0%BD%D1%8B%D0%B9-%D0%BD%D0%B0%D0%BB%D0%BE%D0%B3%D0%BE%D0%B2%D1%8B%D0%B9-%D0%BA%D0%B0%D0%B1%D0%B8%D0%BD%D0%B5%D1%82" </w:instrText>
      </w:r>
      <w:r w:rsidRPr="0089231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892311">
        <w:rPr>
          <w:rFonts w:ascii="Arial" w:eastAsia="Times New Roman" w:hAnsi="Arial" w:cs="Arial"/>
          <w:caps/>
          <w:color w:val="777777"/>
          <w:sz w:val="39"/>
          <w:lang w:eastAsia="ru-RU"/>
        </w:rPr>
        <w:t>БОЛЕЕ 890 ОРГАНИЗАЦИЙ РЕСПУБЛИКИ ОТКРЫЛИ СВОЙ ЛИЧНЫЙ НАЛОГОВЫЙ КАБИНЕТ</w:t>
      </w:r>
      <w:r w:rsidRPr="0089231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повышения качества обслуживания налогоплательщиков ФНС России внедрены в эксплуатацию специальные электронные сервисы личных кабинетов, обеспечивающие интерактивное взаимодействие граждан и организаций с налоговыми органами. 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Начиная с января 2014 года интерактивный сервис «Личный кабинет налогоплательщика юридического лица», размещенный на официальном сайте ФНС России (</w:t>
      </w:r>
      <w:hyperlink r:id="rId4" w:history="1">
        <w:r w:rsidRPr="0089231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www</w:t>
        </w:r>
        <w:r w:rsidRPr="00892311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89231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nalog</w:t>
        </w:r>
        <w:proofErr w:type="spellEnd"/>
        <w:r w:rsidRPr="00892311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89231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ru</w:t>
        </w:r>
        <w:proofErr w:type="spellEnd"/>
      </w:hyperlink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),  доступен для всех налогоплательщиков – юридических лиц на всей территории Российской Федерации. По состоянию на 09 июня 2015 года к нему уже подключились свыше 890 налогоплательщиков Республики Бурятия. 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Благодаря новому сервису налоговой службе станет проще оказывать услуги налогоплательщику, а налогоплательщику - исполнять свои обязанности, возложенные на него Налоговым кодексом Российской Федерации.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Личный кабинет налогоплательщика юридического лица предоставляет налогоплательщику огромный спектр услуг, таких как: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информация по расчетам с бюджетом, в том числе, по задолженности по налогам, о суммах начисленных и уплаченных налоговых платежей, о неисполненных требованиях и т.д.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функции по государственной регистрации юридического лица,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функции по учету юридического лица,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информирование налогоплательщика о ходе процесса рассмотрения заявления (запроса), переданного в налоговый орган через подсистему «Личный кабинет налогоплательщика»;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обратная связь налогоплательщика с налоговыми органами.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полным списком услуг, которые теперь стало гораздо легче и проще получить, можно ознакомиться на сайте ФНС России, в разделе «Электронные сервисы» - «Личный кабинет налогоплательщика юридического лица».  Там же указаны все процедуры и условия, которые юридическое лицо должно выполнить для получения доступа в свой «Личный кабинет».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892311" w:rsidRPr="00892311" w:rsidRDefault="00892311" w:rsidP="0089231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231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         Межрайонная ИФНС России №1 по Республике Бурятия</w:t>
      </w:r>
    </w:p>
    <w:p w:rsidR="00F53339" w:rsidRPr="00892311" w:rsidRDefault="00F53339" w:rsidP="00892311"/>
    <w:sectPr w:rsidR="00F53339" w:rsidRPr="00892311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311"/>
    <w:rsid w:val="00892311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892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23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2019-04-09T07:48:00Z</dcterms:created>
  <dcterms:modified xsi:type="dcterms:W3CDTF">2019-04-09T07:48:00Z</dcterms:modified>
</cp:coreProperties>
</file>