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D8" w:rsidRPr="000330D8" w:rsidRDefault="000330D8" w:rsidP="000330D8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0330D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0330D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171-%D0%BA%D0%BE%D0%BD%D1%82%D1%80%D0%BE%D0%BB%D1%8C%D0%BD%D0%B0%D1%8F-%D1%80%D0%B0%D0%B1%D0%BE%D1%82%D0%B0-%D0%BD%D0%B0%D0%BB%D0%BE%D0%B3%D0%BE%D0%B2%D1%8B%D1%85-%D0%BE%D1%80%D0%B3%D0%B0%D0%BD%D0%BE%D0%B2-%D0%BF%D0%BE-%D1%80%D0%B5%D1%81%D0%BF%D1%83%D0%B1%D0%BB%D0%B8%D0%BA%D0%B5-%D0%B1%D1%83%D1%80%D1%8F%D1%82%D0%B8%D1%8F-%D0%B7%D0%B0-2014-%D0%B3%D0%BE%D0%B4" </w:instrText>
      </w:r>
      <w:r w:rsidRPr="000330D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0330D8">
        <w:rPr>
          <w:rFonts w:ascii="Arial" w:eastAsia="Times New Roman" w:hAnsi="Arial" w:cs="Arial"/>
          <w:caps/>
          <w:color w:val="777777"/>
          <w:sz w:val="39"/>
          <w:lang w:eastAsia="ru-RU"/>
        </w:rPr>
        <w:t>КОНТРОЛЬНАЯ РАБОТА НАЛОГОВЫХ ОРГАНОВ ПО РЕСПУБЛИКЕ БУРЯТИЯ ЗА 2014 ГОД</w:t>
      </w:r>
      <w:r w:rsidRPr="000330D8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proofErr w:type="gramStart"/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2014 году при сокращении количества выездных налоговых проверок на 30% (в 2014 г.- 159 или 0,4% от количества зарегистрированных организаций и ИП, в 2013г. - 221), уровень доначислений по результатам контрольной работы не только сохранился на прежнем уровне, но и увеличился на 1,0% благодаря более качественному камеральному контролю. (1027 млн. руб. в 2014 г. против 1014,3 млн. руб. в 2013</w:t>
      </w:r>
      <w:proofErr w:type="gramEnd"/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gramStart"/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</w:t>
      </w:r>
      <w:proofErr w:type="gramEnd"/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.).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Увеличилась эффективность выездных налоговых проверок - на одну проверку организации, ИП и ФЛ, выявившую нарушение, в среднем начислено 5,4 млн. руб. Показан рост в 1,2 раза (в 2013 году 4,4 млн. руб. на 1 проверку).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Снизилось количество низкоэффективных проверок организаций с доначислениями менее 1 млн. руб., с 53 в 2013 году до 23 проверок. Удельный вес таких проверок снизился на 15,0 процентных пунктов (с 34,9% до 20%).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Основные доначисления по результатам выездных проверок за 2014 г. пришлись на 4 отрасли: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добыча (коды ОКВЭД 10-14);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строительство (код ОКВЭД 45);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оптовая и розничная торговля (коды ОКВЭД 50-52);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жилищно-коммунальное хозяйство (коды ОКВЭД 90-93).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совокупности на долю вышеуказанных отраслей за 2014 г. приходится 90% всех доначислений, в 2013 году – 77%, в 2012 – 83%.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Выбор этих отраслей не случаен, 4 перечисленные выше отрасли находятся в зоне налогового риска</w:t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0"/>
          <w:szCs w:val="20"/>
          <w:lang w:eastAsia="ru-RU"/>
        </w:rPr>
        <w:drawing>
          <wp:inline distT="0" distB="0" distL="0" distR="0">
            <wp:extent cx="5476875" cy="3086100"/>
            <wp:effectExtent l="19050" t="0" r="9525" b="0"/>
            <wp:docPr id="1" name="Рисунок 1" descr="http://gremyachinsk.msurb.ru/images/news/ScreenCli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emyachinsk.msurb.ru/images/news/ScreenClip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0D8" w:rsidRPr="000330D8" w:rsidRDefault="000330D8" w:rsidP="000330D8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0330D8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Межрайонная ИФНС России №1 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D8"/>
    <w:rsid w:val="000330D8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033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0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30D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30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2019-04-09T13:26:00Z</dcterms:created>
  <dcterms:modified xsi:type="dcterms:W3CDTF">2019-04-09T13:26:00Z</dcterms:modified>
</cp:coreProperties>
</file>